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8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具有国际影响力的职业教育资源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申报情况汇总表</w:t>
      </w:r>
    </w:p>
    <w:tbl>
      <w:tblPr>
        <w:tblW w:w="9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534"/>
        <w:gridCol w:w="2616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资源名称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申报单位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机械制造及自动化专业国际化教学资源包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一带一路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装备制造类职业教育教学资源包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陕西工业职业技术学院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材料成型及控制技术专业群国际化教学资源包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陕西工业职业技术学院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讲好中国故事，传播职业技能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体验中文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空中丝路之美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西安航空职业技术学院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中文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汽车制造与试验技术（初级）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西安航空职业技术学院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韩斌慧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一带一路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背景下《工业机器人技术基础及应用》中文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教学资源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陕西国防工业职业技术学院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胥航军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以国省两级资源库为引领，行企校协同共建无人机应用技术专业国际化教学资源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陕西国防工业职业技术学院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胥航军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《新能源汽车概论》双语精品课程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煤矿智能开采专业群教学资源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铁道运营与维护岗位技能培训双语资源包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郝付军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《土木工程材料试验与检测》优质教学资源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工程测量双语资源包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现代铁道运输专业群职业教育教学资源建设与应用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一带一路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背景下国际城市轨道交通供配电技术职业教育资源建设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教材《职业汉语</w:t>
            </w:r>
            <w:r>
              <w:rPr>
                <w:rStyle w:val="5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4"/>
                <w:rFonts w:hint="default" w:ascii="Times New Roman" w:hAnsi="Times New Roman" w:eastAsia="仿宋_GB2312" w:cs="Times New Roman"/>
                <w:bdr w:val="none" w:color="auto" w:sz="0" w:space="0"/>
                <w:lang w:val="en-US" w:eastAsia="zh-CN" w:bidi="ar"/>
              </w:rPr>
              <w:t>学前教育日常用语（基础篇）》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咸阳职业技术学院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</w:tr>
    </w:tbl>
    <w:p>
      <w:pPr>
        <w:rPr>
          <w:rFonts w:hint="eastAsia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C361172-E0EC-459B-B274-736083015B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E98AEB-0E30-45D9-993F-EC5F4B41FA01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000000"/>
    <w:rsid w:val="5A225E76"/>
    <w:rsid w:val="667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default" w:ascii="Helvetica" w:hAnsi="Helvetica" w:eastAsia="Helvetica" w:cs="Helvetic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2023-09-15T01:27:00Z</dcterms:created>
  <dc:creator>lenovo</dc:creator>
  <cp:lastModifiedBy>任锁平</cp:lastModifiedBy>
  <dcterms:modified xsi:type="dcterms:W3CDTF">2023-09-21T02:40:56Z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EB4314BD97444D4BA2F6CE4F665456A8_12</vt:lpwstr>
  </property>
</Properties>
</file>