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黑体" w:eastAsia="黑体" w:hAnsi="黑体" w:hint="eastAsia"/>
          <w:spacing w:val="0"/>
        </w:rPr>
      </w:pPr>
      <w:r>
        <w:rPr>
          <w:rFonts w:ascii="黑体" w:eastAsia="黑体" w:hAnsi="黑体" w:hint="eastAsia"/>
          <w:spacing w:val="0"/>
        </w:rPr>
        <w:t>附件2</w:t>
      </w:r>
    </w:p>
    <w:p w:rsidR="009E3515" w:rsidRDefault="009E3515" w:rsidP="009E3515">
      <w:pPr>
        <w:widowControl/>
        <w:shd w:val="clear" w:color="auto" w:fill="FFFFFF"/>
        <w:jc w:val="center"/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  <w:t>陕西省教育信息化应用优秀案例</w:t>
      </w:r>
    </w:p>
    <w:p w:rsidR="009E3515" w:rsidRDefault="009E3515" w:rsidP="009E3515">
      <w:pPr>
        <w:widowControl/>
        <w:shd w:val="clear" w:color="auto" w:fill="FFFFFF"/>
        <w:jc w:val="left"/>
        <w:rPr>
          <w:rFonts w:ascii="Calibri" w:eastAsia="仿宋" w:hAnsi="Calibri" w:cs="Calibri"/>
          <w:spacing w:val="0"/>
          <w:kern w:val="0"/>
        </w:rPr>
      </w:pPr>
    </w:p>
    <w:p w:rsidR="009E3515" w:rsidRDefault="009E3515" w:rsidP="009E3515">
      <w:pPr>
        <w:widowControl/>
        <w:shd w:val="clear" w:color="auto" w:fill="FFFFFF"/>
        <w:adjustRightInd w:val="0"/>
        <w:snapToGrid w:val="0"/>
        <w:spacing w:line="360" w:lineRule="auto"/>
        <w:ind w:leftChars="-67" w:left="-71" w:hangingChars="44" w:hanging="141"/>
        <w:jc w:val="left"/>
        <w:rPr>
          <w:rFonts w:ascii="黑体" w:eastAsia="黑体" w:hAnsi="黑体" w:cs="宋体"/>
          <w:spacing w:val="0"/>
          <w:kern w:val="0"/>
        </w:rPr>
      </w:pPr>
      <w:r>
        <w:rPr>
          <w:rFonts w:ascii="黑体" w:eastAsia="黑体" w:hAnsi="黑体" w:cs="宋体"/>
          <w:spacing w:val="0"/>
          <w:kern w:val="0"/>
        </w:rPr>
        <w:t>一、区域优秀案例（3</w:t>
      </w:r>
      <w:r>
        <w:rPr>
          <w:rFonts w:ascii="黑体" w:eastAsia="黑体" w:hAnsi="黑体" w:cs="宋体" w:hint="eastAsia"/>
          <w:spacing w:val="0"/>
          <w:kern w:val="0"/>
        </w:rPr>
        <w:t>个</w:t>
      </w:r>
      <w:r>
        <w:rPr>
          <w:rFonts w:ascii="黑体" w:eastAsia="黑体" w:hAnsi="黑体" w:cs="宋体"/>
          <w:spacing w:val="0"/>
          <w:kern w:val="0"/>
        </w:rPr>
        <w:t>）</w:t>
      </w:r>
    </w:p>
    <w:tbl>
      <w:tblPr>
        <w:tblW w:w="0" w:type="auto"/>
        <w:jc w:val="center"/>
        <w:tblLayout w:type="fixed"/>
        <w:tblLook w:val="0000"/>
      </w:tblPr>
      <w:tblGrid>
        <w:gridCol w:w="820"/>
        <w:gridCol w:w="4278"/>
        <w:gridCol w:w="3630"/>
      </w:tblGrid>
      <w:tr w:rsidR="009E3515" w:rsidTr="009762C0">
        <w:trPr>
          <w:trHeight w:val="672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报送单位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“互联网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+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”环境下远程帮扶农村学校美育教育的实践与探索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安康市电化教育馆</w:t>
            </w:r>
          </w:p>
        </w:tc>
      </w:tr>
      <w:tr w:rsidR="009E3515" w:rsidTr="009762C0">
        <w:trPr>
          <w:trHeight w:val="50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健全机制科学优化共建共享以教育信息化推动教育现代化高速发展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西安市新城区教育局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紧抓关键环节，细化工作流程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全面落实县域能力提升工程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2.0</w:t>
            </w:r>
            <w:proofErr w:type="gramStart"/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整校推进</w:t>
            </w:r>
            <w:proofErr w:type="gramEnd"/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西乡县电化教育中心</w:t>
            </w:r>
          </w:p>
        </w:tc>
      </w:tr>
    </w:tbl>
    <w:p w:rsidR="009E3515" w:rsidRDefault="009E3515" w:rsidP="009E3515">
      <w:pPr>
        <w:adjustRightInd w:val="0"/>
        <w:snapToGrid w:val="0"/>
        <w:spacing w:line="360" w:lineRule="auto"/>
        <w:ind w:leftChars="-67" w:left="-73" w:right="1264" w:hangingChars="44" w:hanging="139"/>
        <w:jc w:val="left"/>
        <w:rPr>
          <w:rFonts w:ascii="黑体" w:eastAsia="黑体" w:hAnsi="黑体"/>
          <w:shd w:val="clear" w:color="auto" w:fill="FFFFFF"/>
        </w:rPr>
      </w:pPr>
      <w:r>
        <w:rPr>
          <w:rFonts w:ascii="黑体" w:eastAsia="黑体" w:hAnsi="黑体"/>
          <w:shd w:val="clear" w:color="auto" w:fill="FFFFFF"/>
        </w:rPr>
        <w:t>二、学校优秀案例（10个）</w:t>
      </w:r>
    </w:p>
    <w:tbl>
      <w:tblPr>
        <w:tblW w:w="0" w:type="auto"/>
        <w:jc w:val="center"/>
        <w:tblLayout w:type="fixed"/>
        <w:tblLook w:val="0000"/>
      </w:tblPr>
      <w:tblGrid>
        <w:gridCol w:w="820"/>
        <w:gridCol w:w="4278"/>
        <w:gridCol w:w="3558"/>
      </w:tblGrid>
      <w:tr w:rsidR="009E3515" w:rsidTr="009762C0">
        <w:trPr>
          <w:trHeight w:val="660"/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515" w:rsidRDefault="009E3515" w:rsidP="009762C0">
            <w:pPr>
              <w:widowControl/>
              <w:jc w:val="center"/>
              <w:rPr>
                <w:rFonts w:ascii="宋体" w:eastAsia="宋体" w:hAnsi="宋体" w:cs="宋体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pacing w:val="0"/>
                <w:kern w:val="0"/>
                <w:sz w:val="24"/>
                <w:szCs w:val="24"/>
              </w:rPr>
              <w:t>报送单位</w:t>
            </w:r>
          </w:p>
        </w:tc>
      </w:tr>
      <w:tr w:rsidR="009E3515" w:rsidTr="009762C0">
        <w:trPr>
          <w:trHeight w:val="37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让教师的课堂开放成为常态 ——教育数字化环境下“六课”支持教师专业成长的实践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西安经开第八小学</w:t>
            </w:r>
          </w:p>
        </w:tc>
      </w:tr>
      <w:tr w:rsidR="009E3515" w:rsidTr="009762C0">
        <w:trPr>
          <w:trHeight w:val="37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“互联网+”——让师生成为教育信息化的受益人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西安市碑林区南门小学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数据支撑精准减负 技术助力靶向增效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西安市经开第一中学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构建智慧评价体系，推动学校高质量发展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西安航天城第三小学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STEAM教育 助推幼儿园育人方式新变革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米脂县第五幼儿园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“5+2+X”教育信息化应用模式典型案例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铜川市第一中学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教育扶智 智慧在线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杨凌高新小学</w:t>
            </w:r>
          </w:p>
        </w:tc>
      </w:tr>
      <w:tr w:rsidR="009E3515" w:rsidTr="009762C0">
        <w:trPr>
          <w:trHeight w:val="34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加强机器人教育  培养学生创新能力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汉中师范附属小学</w:t>
            </w:r>
          </w:p>
        </w:tc>
      </w:tr>
      <w:tr w:rsidR="009E3515" w:rsidTr="009762C0">
        <w:trPr>
          <w:trHeight w:val="624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基于青少年爱挑战数据驱动的小学体育测评设计与实践应用案例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兴平市西城办秦岭小学</w:t>
            </w:r>
          </w:p>
        </w:tc>
      </w:tr>
      <w:tr w:rsidR="009E3515" w:rsidTr="009762C0">
        <w:trPr>
          <w:trHeight w:val="40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巧用</w:t>
            </w:r>
            <w:proofErr w:type="gramStart"/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企业微信</w:t>
            </w:r>
            <w:proofErr w:type="gramEnd"/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 xml:space="preserve"> 助力数学作业创新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515" w:rsidRDefault="009E3515" w:rsidP="009762C0">
            <w:pPr>
              <w:widowControl/>
              <w:adjustRightInd w:val="0"/>
              <w:snapToGrid w:val="0"/>
              <w:spacing w:line="288" w:lineRule="auto"/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2"/>
                <w:szCs w:val="22"/>
              </w:rPr>
              <w:t>宝鸡市金台区铁路小学</w:t>
            </w:r>
          </w:p>
        </w:tc>
      </w:tr>
    </w:tbl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仿宋" w:eastAsia="仿宋" w:hAnsi="仿宋"/>
          <w:spacing w:val="0"/>
        </w:rPr>
      </w:pPr>
    </w:p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9E3515" w:rsidRDefault="009E3515" w:rsidP="009E3515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044BC6" w:rsidRPr="009E3515" w:rsidRDefault="00044BC6"/>
    <w:sectPr w:rsidR="00044BC6" w:rsidRPr="009E3515" w:rsidSect="0004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515"/>
    <w:rsid w:val="00044BC6"/>
    <w:rsid w:val="009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5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2023-08-02T03:41:00Z</dcterms:created>
  <dcterms:modified xsi:type="dcterms:W3CDTF">2023-08-02T03:41:00Z</dcterms:modified>
</cp:coreProperties>
</file>